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微软雅黑" w:hAnsi="微软雅黑" w:eastAsia="微软雅黑" w:cs="宋体"/>
          <w:color w:val="auto"/>
          <w:kern w:val="0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bidi="ar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eastAsia="zh-CN" w:bidi="ar"/>
        </w:rPr>
        <w:t>兵团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0"/>
          <w:szCs w:val="40"/>
          <w:lang w:bidi="ar"/>
        </w:rPr>
        <w:t>医疗质量控制中心管理规定》政策解读</w:t>
      </w:r>
    </w:p>
    <w:p>
      <w:pPr>
        <w:widowControl/>
        <w:spacing w:line="560" w:lineRule="exact"/>
        <w:ind w:firstLine="480"/>
        <w:rPr>
          <w:rFonts w:hint="eastAsia" w:ascii="微软雅黑" w:hAnsi="微软雅黑" w:eastAsia="微软雅黑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auto"/>
          <w:kern w:val="0"/>
          <w:sz w:val="32"/>
          <w:szCs w:val="32"/>
        </w:rPr>
        <w:t>一</w:t>
      </w:r>
      <w:r>
        <w:rPr>
          <w:rFonts w:hint="eastAsia" w:ascii="CESI黑体-GB2312" w:hAnsi="CESI黑体-GB2312" w:eastAsia="CESI黑体-GB2312" w:cs="CESI黑体-GB2312"/>
          <w:color w:val="auto"/>
          <w:kern w:val="0"/>
          <w:sz w:val="32"/>
          <w:szCs w:val="32"/>
        </w:rPr>
        <w:t>、制定背景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为持续改进医疗质量，保障医疗安全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充分发挥质控组织在医疗质量安全改进工作中的作用，完善医疗质量管理与控制体系，规范兵团级医疗质量控制中心的建设与管理，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随着兵团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群众对医疗质量的要求日益增高，对质控中心工作科学化、专业化、精细化程度要求也越来越高。近年来的工作实践证明，质控中心的设置需要科学规划、质控中心的管理和工作机制也需要进一步健全。为引导质控中心规范健康发展，结合实践经验，在以往工作的基础上，我委根据国家卫生健康委《医疗质量控制中心管理规定》，组织制定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团医疗质量控制中心管理规定》(以下简称《规定》)。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auto"/>
          <w:kern w:val="0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《规定》针对新时期的要求和质控中心管理运行中存在的共性问题，从质控中心的规划设置、工作职能、运行监管等方面细化管理规定、明确工作要求。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一是明确质控中心规划设置。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统筹规划质控中心的专业领域和工作方向，合理布局。首批规划设置的质控中心包括临床、医技、管理3大类6个领域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个具体方向。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二是建立质控中心动态管理机制。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兵团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级质控中心的产生机制，建立公开透明、择优设置的制度；建立质控中心退出机制，对质控中心进行动态调整，充分调动和激发质控中心的内生动力。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三是强化质控中心工作保障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卫生健康行政部门对质控中心开展工作予以政策保障，对挂靠单位为质控中心开展工作提供的支持和保障作出基本要求。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四是规范质控中心运行管理。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对质控中心的职责任务、组织架构、人员配置、数据使用、资金管理等方面作出规定，进一步强调目标导向，在保障质控中心有序合规运行的同时，提升工作效率。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五是规范了考核机制。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兵团卫生健康委对兵团质控中心建立年度考核制度，并及时公示年度考核结果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auto"/>
          <w:kern w:val="0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本辖区质控工作需要和上级质控中心的设置情况，做好本级质控中心的规划、设置、管理和考核工作，确保质控中心专业布局合理、择优设置，并为质控中心开展工作提供充分的政策保障，利用质控中心不断提升医疗质量安全水平；挂靠单位为质控中心工作开展提供必要的设备、设施、人员和经费等保障条件，确保质控中心工作有序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师级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质控中心在本级行政部门指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导下，按照要求充分掌握本专业本辖区医疗质量安全现状，充分挖掘、分析、利用医疗质量安全数据，定期发布质控信息，制定质量安全改进长期规划、方案以及当前改进目标的综合策略和具体改进措施，发挥行业管理和引领作用，指导各级医疗机构落实医疗质量管理要求，促进医疗质量安全同质化，保障患者安全。</w:t>
      </w:r>
    </w:p>
    <w:p>
      <w:pPr>
        <w:widowControl/>
        <w:spacing w:line="560" w:lineRule="exact"/>
        <w:ind w:firstLine="48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rPr>
          <w:color w:val="auto"/>
        </w:rPr>
      </w:pPr>
    </w:p>
    <w:sectPr>
      <w:pgSz w:w="11906" w:h="16838"/>
      <w:pgMar w:top="2098" w:right="147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2000609000000000000"/>
    <w:charset w:val="00"/>
    <w:family w:val="auto"/>
    <w:pitch w:val="default"/>
    <w:sig w:usb0="800000AF" w:usb1="5000204A" w:usb2="00000000" w:usb3="00000000" w:csb0="2000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23"/>
    <w:rsid w:val="00093F23"/>
    <w:rsid w:val="00577958"/>
    <w:rsid w:val="005A15CD"/>
    <w:rsid w:val="EFB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mr"/>
    <w:basedOn w:val="5"/>
    <w:qFormat/>
    <w:uiPriority w:val="0"/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1059</Characters>
  <Lines>8</Lines>
  <Paragraphs>2</Paragraphs>
  <TotalTime>2</TotalTime>
  <ScaleCrop>false</ScaleCrop>
  <LinksUpToDate>false</LinksUpToDate>
  <CharactersWithSpaces>1242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2023-12-12T19:06:00Z</dcterms:created>
  <dc:creator>Administrator</dc:creator>
  <cp:lastModifiedBy>admin</cp:lastModifiedBy>
  <cp:lastPrinted>2023-12-12T19:21:42Z</cp:lastPrinted>
  <dcterms:modified xsi:type="dcterms:W3CDTF">2023-12-12T19:21:44Z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